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21 86 vom 2. September 2019</w:t>
      </w:r>
    </w:p>
    <w:p>
      <w:r>
        <w:t>BL Gerichte, 2019-09-02, DE</w:t>
      </w:r>
    </w:p>
    <w:p>
      <w:r>
        <w:rPr>
          <w:b/>
        </w:rPr>
        <w:t xml:space="preserve">Quelle: </w:t>
      </w:r>
      <w:r>
        <w:t>https://mcp.opencaselaw.ch/entscheid/bl_gerichte_810 21 86</w:t>
      </w:r>
    </w:p>
    <w:p>
      <w:r>
        <w:t>FR: BL_GERICHTE 810 21 86 du 2 septembre 2019</w:t>
      </w:r>
    </w:p>
    <w:p>
      <w:r>
        <w:t>IT: BL_GERICHTE 810 21 86 del 2 settembre 2019</w:t>
      </w:r>
    </w:p>
    <w:p>
      <w:pPr>
        <w:pStyle w:val="Heading2"/>
      </w:pPr>
      <w:r>
        <w:t>Regeste</w:t>
      </w:r>
    </w:p>
    <w:p>
      <w:r>
        <w:t>Widerruf der Aufenthaltsbewilligung und Wegweisung aus der Schweiz (RRB Nr. 389 vom 23. März 2021)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Mit der verwaltungsgerichtlichen Beschwerde können nach § 45 Abs. 1 lit. a und b VPO Rechtsverletzungen einschliesslich Überschreitung, Unterschreitung oder Missbrauch des Ermessens sowie die unrichtige oder unvollständige Feststellung des Sachverhalts gerügt werden. Die Beurteilung der Angemessenheit ist dem Kantonsgericht dagegen - abgesehen von hier nicht vorliegenden Ausnahmefällen - untersagt (§ 45 Abs. 1 lit. c VPO e contrario).</w:t>
      </w:r>
    </w:p>
    <w:p>
      <w:r>
        <w:rPr>
          <w:b/>
        </w:rPr>
        <w:t>E. 3</w:t>
      </w:r>
    </w:p>
    <w:p>
      <w:r>
        <w:t>Die Verfahrenskosten in der Höhe von Fr. 3'000.-- werden dem Beschwerdegegner auferlegt.</w:t>
      </w:r>
    </w:p>
    <w:p>
      <w:r>
        <w:rPr>
          <w:b/>
        </w:rPr>
        <w:t>E. 4</w:t>
      </w:r>
    </w:p>
    <w:p>
      <w:r>
        <w:t>Der Beschwerdegegner hat der Beschwerdeführerin eine Parteientschädigung in der Höhe von Fr. 7'770.25 (inkl. Auslagen und 7.7% Mehrwertsteuer) auszurichten. Im Übrigen werden die Parteikosten wettgeschlagen. Vizepräsident Gerichtsschreiberin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